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15.HAFTA</w:t>
      </w:r>
    </w:p>
    <w:p w:rsidR="00000000" w:rsidDel="00000000" w:rsidP="00000000" w:rsidRDefault="00000000" w:rsidRPr="00000000" w14:paraId="00000003">
      <w:pPr>
        <w:pStyle w:val="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5">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7">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9">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A">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B">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C">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D">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E">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1">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3">
            <w:pPr>
              <w:spacing w:line="276" w:lineRule="auto"/>
              <w:rPr>
                <w:b w:val="1"/>
                <w:sz w:val="18"/>
                <w:szCs w:val="18"/>
              </w:rPr>
            </w:pPr>
            <w:r w:rsidDel="00000000" w:rsidR="00000000" w:rsidRPr="00000000">
              <w:rPr>
                <w:b w:val="1"/>
                <w:sz w:val="18"/>
                <w:szCs w:val="18"/>
                <w:rtl w:val="0"/>
              </w:rPr>
              <w:t xml:space="preserve">KMYV.1.3.3. Biruni’nin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4">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6">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7">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9">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A">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C">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D">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E">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Biruni’ nin kültür ve medeniyetimize sağladığı katkılar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3">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5">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6">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8">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9">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B">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C">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F">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30">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1">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2">
            <w:pPr>
              <w:rPr>
                <w:color w:val="000000"/>
                <w:sz w:val="18"/>
                <w:szCs w:val="18"/>
              </w:rPr>
            </w:pPr>
            <w:r w:rsidDel="00000000" w:rsidR="00000000" w:rsidRPr="00000000">
              <w:rPr>
                <w:color w:val="000000"/>
                <w:sz w:val="18"/>
                <w:szCs w:val="18"/>
                <w:rtl w:val="0"/>
              </w:rPr>
              <w:t xml:space="preserve">El-Birûnî'nin kültür ve medeniyetimize sağladığı katkılar, onun geniş bir yelpazede gerçekleştirdiği çalışmalar ve yazdığı eserler aracılığıyla anlaşılabilir. Bu katkıları şu şekilde özetleyebiliriz:</w:t>
            </w:r>
          </w:p>
          <w:p w:rsidR="00000000" w:rsidDel="00000000" w:rsidP="00000000" w:rsidRDefault="00000000" w:rsidRPr="00000000" w14:paraId="00000033">
            <w:pPr>
              <w:numPr>
                <w:ilvl w:val="0"/>
                <w:numId w:val="2"/>
              </w:numPr>
              <w:ind w:left="720" w:hanging="360"/>
              <w:rPr>
                <w:color w:val="000000"/>
                <w:sz w:val="18"/>
                <w:szCs w:val="18"/>
              </w:rPr>
            </w:pPr>
            <w:r w:rsidDel="00000000" w:rsidR="00000000" w:rsidRPr="00000000">
              <w:rPr>
                <w:color w:val="000000"/>
                <w:sz w:val="18"/>
                <w:szCs w:val="18"/>
                <w:rtl w:val="0"/>
              </w:rPr>
              <w:t xml:space="preserve"> Biruni, astronomi, fizik, tıp, kimya, matematik, trigonometri, felsefe, etnoloji, jeodezi, jeoloji, tarih, filoloji,coğrafya ve farmakoloji gibi pek çok alanda eserler yazmıştır. Bu eserleriyle, Türk bilim tarihine ve genel olarak insanlık bilimine önemli katkılar sağlamıştır.</w:t>
            </w:r>
          </w:p>
          <w:p w:rsidR="00000000" w:rsidDel="00000000" w:rsidP="00000000" w:rsidRDefault="00000000" w:rsidRPr="00000000" w14:paraId="00000034">
            <w:pPr>
              <w:numPr>
                <w:ilvl w:val="0"/>
                <w:numId w:val="2"/>
              </w:numPr>
              <w:ind w:left="720" w:hanging="360"/>
              <w:rPr>
                <w:color w:val="000000"/>
                <w:sz w:val="18"/>
                <w:szCs w:val="18"/>
              </w:rPr>
            </w:pPr>
            <w:r w:rsidDel="00000000" w:rsidR="00000000" w:rsidRPr="00000000">
              <w:rPr>
                <w:color w:val="000000"/>
                <w:sz w:val="18"/>
                <w:szCs w:val="18"/>
                <w:rtl w:val="0"/>
              </w:rPr>
              <w:t xml:space="preserve">Biruni, Türkçe, Farsça, Yunanca, Arapça, Sanskritçe ve İbranice gibi dilleri bilen ve bu dillerde eserler yazan bir dâhiydi. Bu dil yetkinliği, farklı kültürler arasındaki bilimsel ve entelektüel etkileşime önemli katkılarda bulunmuştur.</w:t>
            </w:r>
          </w:p>
          <w:p w:rsidR="00000000" w:rsidDel="00000000" w:rsidP="00000000" w:rsidRDefault="00000000" w:rsidRPr="00000000" w14:paraId="00000035">
            <w:pPr>
              <w:numPr>
                <w:ilvl w:val="0"/>
                <w:numId w:val="2"/>
              </w:numPr>
              <w:ind w:left="720" w:hanging="360"/>
              <w:rPr>
                <w:color w:val="000000"/>
                <w:sz w:val="18"/>
                <w:szCs w:val="18"/>
              </w:rPr>
            </w:pPr>
            <w:r w:rsidDel="00000000" w:rsidR="00000000" w:rsidRPr="00000000">
              <w:rPr>
                <w:color w:val="000000"/>
                <w:sz w:val="18"/>
                <w:szCs w:val="18"/>
                <w:rtl w:val="0"/>
              </w:rPr>
              <w:t xml:space="preserve">Batı'da Aliboron olarak tanınan ve Sarton tarafından “tüm zamanların en büyük bilginlerinden biri” olarak nitelendirilen Biruni, çok yönlü bilim insanı kimliğiyle tarihte "Evrensel Dâhi" olarak anılmıştır.</w:t>
            </w:r>
          </w:p>
          <w:p w:rsidR="00000000" w:rsidDel="00000000" w:rsidP="00000000" w:rsidRDefault="00000000" w:rsidRPr="00000000" w14:paraId="00000036">
            <w:pPr>
              <w:numPr>
                <w:ilvl w:val="0"/>
                <w:numId w:val="2"/>
              </w:numPr>
              <w:ind w:left="720" w:hanging="360"/>
              <w:rPr>
                <w:color w:val="000000"/>
                <w:sz w:val="18"/>
                <w:szCs w:val="18"/>
              </w:rPr>
            </w:pPr>
            <w:r w:rsidDel="00000000" w:rsidR="00000000" w:rsidRPr="00000000">
              <w:rPr>
                <w:color w:val="000000"/>
                <w:sz w:val="18"/>
                <w:szCs w:val="18"/>
                <w:rtl w:val="0"/>
              </w:rPr>
              <w:t xml:space="preserve"> Biruni, trigonometrik fonksiyonlarda yarıçapın bir birim olarak kabul edilmesini öneren ilk kişidir ve sinüs, kosinüs gibi fonksiyonlara sekant, kosekant ve kotanjant fonksiyonlarını eklemiştir. Bu yenilikler, matematik tarihinde önemli bir yer tutar.</w:t>
            </w:r>
          </w:p>
          <w:p w:rsidR="00000000" w:rsidDel="00000000" w:rsidP="00000000" w:rsidRDefault="00000000" w:rsidRPr="00000000" w14:paraId="00000037">
            <w:pPr>
              <w:numPr>
                <w:ilvl w:val="0"/>
                <w:numId w:val="2"/>
              </w:numPr>
              <w:ind w:left="720" w:hanging="360"/>
              <w:rPr>
                <w:color w:val="000000"/>
                <w:sz w:val="18"/>
                <w:szCs w:val="18"/>
              </w:rPr>
            </w:pPr>
            <w:r w:rsidDel="00000000" w:rsidR="00000000" w:rsidRPr="00000000">
              <w:rPr>
                <w:color w:val="000000"/>
                <w:sz w:val="18"/>
                <w:szCs w:val="18"/>
                <w:rtl w:val="0"/>
              </w:rPr>
              <w:t xml:space="preserve"> "Nihâyâtü'l-Emâkin" gibi eserleriyle coğrafya, jeodezi ve jeoloji alanlarında önemli çalışmalar yapmıştır. Bu çalışmalar, bölgesel ve küresel coğrafyanın daha iyi anlaşılmasına yardımcı olmuştur.</w:t>
            </w:r>
          </w:p>
          <w:p w:rsidR="00000000" w:rsidDel="00000000" w:rsidP="00000000" w:rsidRDefault="00000000" w:rsidRPr="00000000" w14:paraId="00000038">
            <w:pPr>
              <w:numPr>
                <w:ilvl w:val="0"/>
                <w:numId w:val="2"/>
              </w:numPr>
              <w:ind w:left="720" w:hanging="360"/>
              <w:rPr>
                <w:color w:val="000000"/>
                <w:sz w:val="18"/>
                <w:szCs w:val="18"/>
              </w:rPr>
            </w:pPr>
            <w:r w:rsidDel="00000000" w:rsidR="00000000" w:rsidRPr="00000000">
              <w:rPr>
                <w:color w:val="000000"/>
                <w:sz w:val="18"/>
                <w:szCs w:val="18"/>
                <w:rtl w:val="0"/>
              </w:rPr>
              <w:t xml:space="preserve">Biruni, eserlerinde Aristo ve Batlamyus gibi önceki bilim insanlarının görüşlerini tartışmış ve eleştirel bir yaklaşım sergilemiştir. Bu, bilimsel düşüncede eleştirel metodolojinin gelişimine katkıda bulunmuştur.</w:t>
            </w:r>
          </w:p>
          <w:p w:rsidR="00000000" w:rsidDel="00000000" w:rsidP="00000000" w:rsidRDefault="00000000" w:rsidRPr="00000000" w14:paraId="00000039">
            <w:pPr>
              <w:numPr>
                <w:ilvl w:val="0"/>
                <w:numId w:val="2"/>
              </w:numPr>
              <w:ind w:left="720" w:hanging="360"/>
              <w:rPr>
                <w:color w:val="000000"/>
                <w:sz w:val="18"/>
                <w:szCs w:val="18"/>
              </w:rPr>
            </w:pPr>
            <w:r w:rsidDel="00000000" w:rsidR="00000000" w:rsidRPr="00000000">
              <w:rPr>
                <w:color w:val="000000"/>
                <w:sz w:val="18"/>
                <w:szCs w:val="18"/>
                <w:rtl w:val="0"/>
              </w:rPr>
              <w:t xml:space="preserve">Bitkiler, madenler, hayvanlar ve yararlı otlar üzerine çalışmalar yaparak, tıp ve farmakoloji alanlarında önemli bilgiler sağlamıştır. Özellikle farmakoloji alanında, çeşitli bitkisel ve mineral ilaçların etkileri ve kullanımı hakkında değerli bilgiler sunmuştur.</w:t>
            </w:r>
          </w:p>
          <w:p w:rsidR="00000000" w:rsidDel="00000000" w:rsidP="00000000" w:rsidRDefault="00000000" w:rsidRPr="00000000" w14:paraId="0000003A">
            <w:pPr>
              <w:numPr>
                <w:ilvl w:val="0"/>
                <w:numId w:val="2"/>
              </w:numPr>
              <w:ind w:left="720" w:hanging="360"/>
              <w:rPr>
                <w:color w:val="000000"/>
                <w:sz w:val="18"/>
                <w:szCs w:val="18"/>
              </w:rPr>
            </w:pPr>
            <w:r w:rsidDel="00000000" w:rsidR="00000000" w:rsidRPr="00000000">
              <w:rPr>
                <w:color w:val="000000"/>
                <w:sz w:val="18"/>
                <w:szCs w:val="18"/>
                <w:rtl w:val="0"/>
              </w:rPr>
              <w:t xml:space="preserve"> Biruni, aynı zamanda bir tarihçi ve etnolog olarak da önemli çalışmalar yapmıştır. Özellikle "Kitâb'üt-Tahkîk Mâ li'l-Hind" adlı eseri, Hindistan'ın tarihini, kültürünü ve sosyal yapısını anlamada kilit bir kaynak olarak kabul edilir.</w:t>
            </w:r>
          </w:p>
          <w:p w:rsidR="00000000" w:rsidDel="00000000" w:rsidP="00000000" w:rsidRDefault="00000000" w:rsidRPr="00000000" w14:paraId="0000003B">
            <w:pPr>
              <w:numPr>
                <w:ilvl w:val="0"/>
                <w:numId w:val="2"/>
              </w:numPr>
              <w:ind w:left="720" w:hanging="360"/>
              <w:rPr>
                <w:color w:val="000000"/>
                <w:sz w:val="18"/>
                <w:szCs w:val="18"/>
              </w:rPr>
            </w:pPr>
            <w:r w:rsidDel="00000000" w:rsidR="00000000" w:rsidRPr="00000000">
              <w:rPr>
                <w:color w:val="000000"/>
                <w:sz w:val="18"/>
                <w:szCs w:val="18"/>
                <w:rtl w:val="0"/>
              </w:rPr>
              <w:t xml:space="preserve">Biruni'nin eserlerinin sayısı yüz seksen civarında olup, bunların sadece bir kısmı günümüze ulaşabilmiştir. Eserleri, Orta Çağ'da ve sonrasında bilim dünyasında geniş bir etki yaratmıştır.</w:t>
            </w:r>
          </w:p>
          <w:p w:rsidR="00000000" w:rsidDel="00000000" w:rsidP="00000000" w:rsidRDefault="00000000" w:rsidRPr="00000000" w14:paraId="0000003C">
            <w:pPr>
              <w:rPr>
                <w:color w:val="000000"/>
                <w:sz w:val="18"/>
                <w:szCs w:val="18"/>
              </w:rPr>
            </w:pPr>
            <w:r w:rsidDel="00000000" w:rsidR="00000000" w:rsidRPr="00000000">
              <w:rPr>
                <w:color w:val="000000"/>
                <w:sz w:val="18"/>
                <w:szCs w:val="18"/>
                <w:rtl w:val="0"/>
              </w:rPr>
              <w:t xml:space="preserve">El-Birûnî'nin bu çeşitli katkıları, onu sadece Türk bilim tarihinde değil, dünya bilim tarihinde de öne çıkan bir figür yapmaktadır. Eserleri ve düşünceleri, farklı alanlarda çalışan bilim insanları ve düşünürler için ilham kaynağı olmuş ve zamanının ötesinde bir bilimsel vizyon sergilemiştir. El-Birûnî, bilimin çeşitli alanlarında gerçekleştirdiği yenilikçi çalışmaları, kültürel etkileşime verdiği önem ve eleştirel düşünce yaklaşımı ile tarihte önemli bir yer edinmiştir.</w:t>
            </w:r>
          </w:p>
          <w:p w:rsidR="00000000" w:rsidDel="00000000" w:rsidP="00000000" w:rsidRDefault="00000000" w:rsidRPr="00000000" w14:paraId="0000003D">
            <w:pPr>
              <w:rPr>
                <w:color w:val="000000"/>
                <w:sz w:val="18"/>
                <w:szCs w:val="18"/>
              </w:rPr>
            </w:pPr>
            <w:r w:rsidDel="00000000" w:rsidR="00000000" w:rsidRPr="00000000">
              <w:rPr>
                <w:rtl w:val="0"/>
              </w:rPr>
            </w:r>
          </w:p>
          <w:p w:rsidR="00000000" w:rsidDel="00000000" w:rsidP="00000000" w:rsidRDefault="00000000" w:rsidRPr="00000000" w14:paraId="0000003E">
            <w:pPr>
              <w:rPr>
                <w:color w:val="000000"/>
                <w:sz w:val="18"/>
                <w:szCs w:val="18"/>
              </w:rPr>
            </w:pPr>
            <w:r w:rsidDel="00000000" w:rsidR="00000000" w:rsidRPr="00000000">
              <w:rPr>
                <w:color w:val="000000"/>
                <w:sz w:val="18"/>
                <w:szCs w:val="18"/>
                <w:rtl w:val="0"/>
              </w:rPr>
              <w:t xml:space="preserve">https://www.sorubak.com/sinav/soru/218699/</w:t>
            </w:r>
          </w:p>
        </w:tc>
      </w:tr>
    </w:tbl>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42">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43">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44">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45">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46">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47">
            <w:pPr>
              <w:rPr>
                <w:b w:val="1"/>
                <w:sz w:val="20"/>
                <w:szCs w:val="20"/>
              </w:rPr>
            </w:pPr>
            <w:r w:rsidDel="00000000" w:rsidR="00000000" w:rsidRPr="00000000">
              <w:rPr>
                <w:rtl w:val="0"/>
              </w:rPr>
            </w:r>
          </w:p>
          <w:p w:rsidR="00000000" w:rsidDel="00000000" w:rsidP="00000000" w:rsidRDefault="00000000" w:rsidRPr="00000000" w14:paraId="00000048">
            <w:pPr>
              <w:rPr>
                <w:b w:val="1"/>
                <w:sz w:val="20"/>
                <w:szCs w:val="20"/>
              </w:rPr>
            </w:pPr>
            <w:r w:rsidDel="00000000" w:rsidR="00000000" w:rsidRPr="00000000">
              <w:rPr>
                <w:rtl w:val="0"/>
              </w:rPr>
            </w:r>
          </w:p>
        </w:tc>
      </w:tr>
    </w:tbl>
    <w:p w:rsidR="00000000" w:rsidDel="00000000" w:rsidP="00000000" w:rsidRDefault="00000000" w:rsidRPr="00000000" w14:paraId="00000049">
      <w:pPr>
        <w:rPr>
          <w:b w:val="1"/>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4B">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4C">
            <w:pPr>
              <w:rPr>
                <w:sz w:val="18"/>
                <w:szCs w:val="18"/>
              </w:rPr>
            </w:pPr>
            <w:r w:rsidDel="00000000" w:rsidR="00000000" w:rsidRPr="00000000">
              <w:rPr>
                <w:sz w:val="18"/>
                <w:szCs w:val="18"/>
                <w:rtl w:val="0"/>
              </w:rPr>
              <w:t xml:space="preserve">a) Biruni’nin dinler tarihi, astronomi, fizik, tıp, kimya, matematik, trigonometri, felsefe, etnoloji, jeodezi, jeoloji, tarih, filoloji, coğrafya ve farmakoloji alanlarındaki eserleriyle Türk bilim tarihine yaptığı katkılar ele alınır.</w:t>
            </w:r>
          </w:p>
          <w:p w:rsidR="00000000" w:rsidDel="00000000" w:rsidP="00000000" w:rsidRDefault="00000000" w:rsidRPr="00000000" w14:paraId="0000004D">
            <w:pPr>
              <w:rPr>
                <w:sz w:val="18"/>
                <w:szCs w:val="18"/>
              </w:rPr>
            </w:pPr>
            <w:r w:rsidDel="00000000" w:rsidR="00000000" w:rsidRPr="00000000">
              <w:rPr>
                <w:sz w:val="18"/>
                <w:szCs w:val="18"/>
                <w:rtl w:val="0"/>
              </w:rPr>
              <w:t xml:space="preserve">b) Biruni’nin Türkçe, Farsça, Yunanca, Arapça, Sanskritçe ve İbranice bildiği, bilim dünyasında birçok keşfinin olduğu ve “Evrensel Dâhi” olarak anıldığı vurgulanır.</w:t>
            </w:r>
          </w:p>
          <w:p w:rsidR="00000000" w:rsidDel="00000000" w:rsidP="00000000" w:rsidRDefault="00000000" w:rsidRPr="00000000" w14:paraId="0000004E">
            <w:pPr>
              <w:rPr>
                <w:sz w:val="18"/>
                <w:szCs w:val="18"/>
              </w:rPr>
            </w:pPr>
            <w:r w:rsidDel="00000000" w:rsidR="00000000" w:rsidRPr="00000000">
              <w:rPr>
                <w:sz w:val="18"/>
                <w:szCs w:val="18"/>
                <w:rtl w:val="0"/>
              </w:rPr>
              <w:t xml:space="preserve">c) Batı’da Aliboron olarak tanınan Biruni’nin Sarton tarafından “tüm zamanların en büyük bilginlerinden biri” olarak nitelendirildiği vurgulanır.</w:t>
            </w:r>
          </w:p>
          <w:p w:rsidR="00000000" w:rsidDel="00000000" w:rsidP="00000000" w:rsidRDefault="00000000" w:rsidRPr="00000000" w14:paraId="0000004F">
            <w:pPr>
              <w:rPr>
                <w:sz w:val="18"/>
                <w:szCs w:val="18"/>
              </w:rPr>
            </w:pPr>
            <w:r w:rsidDel="00000000" w:rsidR="00000000" w:rsidRPr="00000000">
              <w:rPr>
                <w:sz w:val="18"/>
                <w:szCs w:val="18"/>
                <w:rtl w:val="0"/>
              </w:rPr>
              <w:t xml:space="preserve">ç) Biruni’nin önemli eserleri ve keşiflerinin araştırılması ve araştırma sonuçlarının sınıfta paylaşılması sağlanır.</w:t>
            </w:r>
          </w:p>
        </w:tc>
      </w:tr>
    </w:tbl>
    <w:p w:rsidR="00000000" w:rsidDel="00000000" w:rsidP="00000000" w:rsidRDefault="00000000" w:rsidRPr="00000000" w14:paraId="00000050">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6" w:hRule="atLeast"/>
          <w:tblHeader w:val="0"/>
        </w:trPr>
        <w:tc>
          <w:tcPr/>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t xml:space="preserve">Funda Arslan Tekdaş/ Ayşe Memiş </w:t>
            </w:r>
          </w:p>
          <w:p w:rsidR="00000000" w:rsidDel="00000000" w:rsidP="00000000" w:rsidRDefault="00000000" w:rsidRPr="00000000" w14:paraId="00000053">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t xml:space="preserve">14.01.2025</w:t>
            </w:r>
          </w:p>
          <w:p w:rsidR="00000000" w:rsidDel="00000000" w:rsidP="00000000" w:rsidRDefault="00000000" w:rsidRPr="00000000" w14:paraId="00000056">
            <w:pPr>
              <w:jc w:val="center"/>
              <w:rPr/>
            </w:pPr>
            <w:r w:rsidDel="00000000" w:rsidR="00000000" w:rsidRPr="00000000">
              <w:rPr>
                <w:rtl w:val="0"/>
              </w:rPr>
              <w:t xml:space="preserve">Fatih Kılıç</w:t>
            </w:r>
          </w:p>
          <w:p w:rsidR="00000000" w:rsidDel="00000000" w:rsidP="00000000" w:rsidRDefault="00000000" w:rsidRPr="00000000" w14:paraId="00000057">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58">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